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6B112A" w:rsidP="00ED6A85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ED6A85"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ED6A85"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 w:rsidR="00FD47CA"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 w:rsidR="00ED6A85"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6B112A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</w:t>
            </w:r>
            <w:r w:rsidR="00262466"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 w:rsidR="00262466"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ED6A85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E5D78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FF783C">
              <w:rPr>
                <w:rFonts w:eastAsiaTheme="minorHAnsi"/>
                <w:kern w:val="0"/>
                <w:sz w:val="28"/>
                <w:szCs w:val="28"/>
              </w:rPr>
              <w:t>1</w:t>
            </w:r>
            <w:r w:rsidR="00ED6A85">
              <w:rPr>
                <w:rFonts w:eastAsiaTheme="minorHAnsi"/>
                <w:kern w:val="0"/>
                <w:sz w:val="28"/>
                <w:szCs w:val="28"/>
              </w:rPr>
              <w:t>04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0F2E8C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0F2E8C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Администрации Зуйского сельского поселения </w:t>
      </w:r>
    </w:p>
    <w:p w:rsidR="00905242" w:rsidRDefault="00905242" w:rsidP="000F2E8C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087525">
        <w:rPr>
          <w:rFonts w:eastAsiaTheme="minorEastAsia"/>
          <w:i/>
          <w:kern w:val="0"/>
          <w:sz w:val="28"/>
          <w:szCs w:val="28"/>
          <w:lang w:eastAsia="ru-RU"/>
        </w:rPr>
        <w:t xml:space="preserve">150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от </w:t>
      </w:r>
      <w:r w:rsidR="00087525">
        <w:rPr>
          <w:rFonts w:eastAsiaTheme="minorEastAsia"/>
          <w:i/>
          <w:kern w:val="0"/>
          <w:sz w:val="28"/>
          <w:szCs w:val="28"/>
          <w:lang w:eastAsia="ru-RU"/>
        </w:rPr>
        <w:t>28.10.2019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C562A3" w:rsidRDefault="00BD6B56" w:rsidP="00C562A3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087525">
        <w:rPr>
          <w:sz w:val="28"/>
          <w:szCs w:val="28"/>
        </w:rPr>
        <w:t>150</w:t>
      </w:r>
      <w:r w:rsidRPr="00BD6B56">
        <w:rPr>
          <w:sz w:val="28"/>
          <w:szCs w:val="28"/>
        </w:rPr>
        <w:t xml:space="preserve"> от </w:t>
      </w:r>
      <w:r w:rsidR="00087525">
        <w:rPr>
          <w:sz w:val="28"/>
          <w:szCs w:val="28"/>
        </w:rPr>
        <w:t>28.10.2019</w:t>
      </w:r>
      <w:r w:rsidRPr="00BD6B56">
        <w:rPr>
          <w:sz w:val="28"/>
          <w:szCs w:val="28"/>
        </w:rPr>
        <w:t xml:space="preserve"> года </w:t>
      </w:r>
      <w:r w:rsidRPr="00087525">
        <w:rPr>
          <w:sz w:val="28"/>
          <w:szCs w:val="28"/>
        </w:rPr>
        <w:t>«</w:t>
      </w:r>
      <w:r w:rsidR="00087525" w:rsidRPr="00087525">
        <w:rPr>
          <w:sz w:val="28"/>
          <w:szCs w:val="28"/>
        </w:rPr>
        <w:t>О создании Приемочной комиссии по вопросам завершения переустройства и (или) перепланировки помещения в многоквартирном доме»</w:t>
      </w:r>
      <w:r w:rsidR="00C562A3">
        <w:rPr>
          <w:sz w:val="28"/>
          <w:szCs w:val="28"/>
        </w:rPr>
        <w:t xml:space="preserve"> </w:t>
      </w:r>
      <w:r w:rsidRPr="00C562A3">
        <w:rPr>
          <w:sz w:val="28"/>
          <w:szCs w:val="28"/>
        </w:rPr>
        <w:t>(с изменениями) следующие изменения:</w:t>
      </w:r>
    </w:p>
    <w:p w:rsidR="006E4F59" w:rsidRDefault="006E4F59" w:rsidP="00BD6B56">
      <w:pPr>
        <w:spacing w:line="300" w:lineRule="auto"/>
        <w:ind w:firstLine="567"/>
        <w:jc w:val="both"/>
        <w:rPr>
          <w:sz w:val="28"/>
          <w:szCs w:val="28"/>
        </w:rPr>
      </w:pP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ED6A85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ED6A85">
              <w:rPr>
                <w:sz w:val="28"/>
                <w:szCs w:val="28"/>
              </w:rPr>
              <w:t xml:space="preserve">                  </w:t>
            </w:r>
            <w:r w:rsidR="00FD47CA">
              <w:rPr>
                <w:sz w:val="28"/>
                <w:szCs w:val="28"/>
              </w:rPr>
              <w:t xml:space="preserve"> А.</w:t>
            </w:r>
            <w:r w:rsidR="00ED6A85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F59" w:rsidRDefault="006E4F5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CD1137" w:rsidRDefault="00CD1137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D1137" w:rsidTr="00087525">
              <w:tc>
                <w:tcPr>
                  <w:tcW w:w="5240" w:type="dxa"/>
                </w:tcPr>
                <w:p w:rsidR="00CD1137" w:rsidRPr="008D5BA0" w:rsidRDefault="00EC116D" w:rsidP="00087525">
                  <w:pPr>
                    <w:widowControl/>
                    <w:suppressAutoHyphens w:val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D1137" w:rsidRDefault="00CD1137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B112A" w:rsidRDefault="006B112A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6B112A" w:rsidRDefault="006B112A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D1137" w:rsidRPr="00CD1137" w:rsidRDefault="008D5BA0" w:rsidP="0008752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Е.А. </w:t>
                  </w:r>
                  <w:r w:rsidR="00ED6A85" w:rsidRPr="00ED6A85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Кононенко</w:t>
                  </w:r>
                </w:p>
              </w:tc>
            </w:tr>
            <w:tr w:rsidR="00E431AC" w:rsidTr="00087525">
              <w:tc>
                <w:tcPr>
                  <w:tcW w:w="5240" w:type="dxa"/>
                </w:tcPr>
                <w:p w:rsidR="00E431AC" w:rsidRDefault="00E431AC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Default="00E431AC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C562A3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 сектором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Pr="00CD1137" w:rsidRDefault="00ED6A8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 Семерунь</w:t>
                  </w: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C562A3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Pr="00CD1137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C562A3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Ведущий специалист сектора</w:t>
                  </w:r>
                  <w:r w:rsidR="00087525" w:rsidRPr="00087525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по </w:t>
                  </w:r>
                  <w:r w:rsidR="00ED6A85" w:rsidRPr="00ED6A85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Default="00ED6A8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М.И. Менчик</w:t>
                  </w:r>
                </w:p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C562A3" w:rsidRPr="00CD1137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7525" w:rsidTr="00087525">
              <w:tc>
                <w:tcPr>
                  <w:tcW w:w="5240" w:type="dxa"/>
                </w:tcPr>
                <w:p w:rsidR="00087525" w:rsidRDefault="00087525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87525" w:rsidRDefault="00087525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87525" w:rsidTr="00087525">
              <w:tc>
                <w:tcPr>
                  <w:tcW w:w="5240" w:type="dxa"/>
                </w:tcPr>
                <w:p w:rsidR="00087525" w:rsidRDefault="00087525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Ведущий специалист 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87525" w:rsidRDefault="00087525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8872B9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А.В. Ильичева</w:t>
                  </w:r>
                  <w:bookmarkStart w:id="0" w:name="_GoBack"/>
                  <w:bookmarkEnd w:id="0"/>
                </w:p>
              </w:tc>
            </w:tr>
            <w:tr w:rsidR="00087525" w:rsidTr="00087525">
              <w:tc>
                <w:tcPr>
                  <w:tcW w:w="5240" w:type="dxa"/>
                </w:tcPr>
                <w:p w:rsidR="00087525" w:rsidRDefault="00087525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87525" w:rsidRDefault="00087525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87525" w:rsidRDefault="0008752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087525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сектором </w:t>
                  </w:r>
                  <w:r w:rsidRPr="00087525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по финансированию и бухгалтерскому учету</w:t>
                  </w: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087525" w:rsidRDefault="00ED6A85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 Шупикова</w:t>
                  </w: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C562A3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562A3" w:rsidTr="00087525">
              <w:tc>
                <w:tcPr>
                  <w:tcW w:w="5240" w:type="dxa"/>
                </w:tcPr>
                <w:p w:rsidR="00C562A3" w:rsidRDefault="00C562A3" w:rsidP="00087525">
                  <w:pP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562A3" w:rsidRDefault="00C562A3" w:rsidP="000875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562A3" w:rsidRDefault="00C562A3" w:rsidP="00087525">
                  <w:pPr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431AC" w:rsidRDefault="00E431AC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D6A85" w:rsidRDefault="00ED6A85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D6A85" w:rsidRDefault="00ED6A85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D6A85" w:rsidRDefault="00ED6A85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Pr="00262466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E431AC" w:rsidRPr="000F2E8C" w:rsidRDefault="00E431AC" w:rsidP="000F2E8C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0F2E8C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E431AC" w:rsidRPr="000F2E8C" w:rsidRDefault="00E431AC" w:rsidP="000F2E8C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0F2E8C">
        <w:rPr>
          <w:rFonts w:eastAsiaTheme="minorEastAsia"/>
          <w:kern w:val="0"/>
          <w:sz w:val="28"/>
          <w:szCs w:val="28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 w:rsidR="00087525">
        <w:rPr>
          <w:rFonts w:eastAsiaTheme="minorEastAsia"/>
          <w:kern w:val="0"/>
          <w:sz w:val="28"/>
          <w:szCs w:val="28"/>
          <w:lang w:eastAsia="ru-RU"/>
        </w:rPr>
        <w:t>28 октября 2019</w:t>
      </w:r>
      <w:r w:rsidRPr="000F2E8C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 w:rsidR="00087525">
        <w:rPr>
          <w:rFonts w:eastAsiaTheme="minorEastAsia"/>
          <w:kern w:val="0"/>
          <w:sz w:val="28"/>
          <w:szCs w:val="28"/>
          <w:lang w:eastAsia="ru-RU"/>
        </w:rPr>
        <w:t>150</w:t>
      </w:r>
    </w:p>
    <w:p w:rsidR="00E431AC" w:rsidRPr="000F2E8C" w:rsidRDefault="00E431AC" w:rsidP="000F2E8C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</w:p>
    <w:p w:rsidR="00E431AC" w:rsidRPr="002B4A83" w:rsidRDefault="00E431AC" w:rsidP="000F2E8C">
      <w:pPr>
        <w:widowControl/>
        <w:suppressAutoHyphens w:val="0"/>
        <w:spacing w:line="283" w:lineRule="auto"/>
        <w:ind w:left="4253"/>
        <w:rPr>
          <w:rFonts w:eastAsiaTheme="minorEastAsia"/>
          <w:kern w:val="0"/>
          <w:sz w:val="28"/>
          <w:szCs w:val="28"/>
          <w:lang w:eastAsia="ru-RU"/>
        </w:rPr>
      </w:pPr>
      <w:r w:rsidRPr="000F2E8C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C562A3">
        <w:rPr>
          <w:rFonts w:eastAsiaTheme="minorEastAsia"/>
          <w:kern w:val="0"/>
          <w:sz w:val="28"/>
          <w:szCs w:val="28"/>
          <w:lang w:eastAsia="ru-RU"/>
        </w:rPr>
        <w:t>26.07</w:t>
      </w:r>
      <w:r w:rsidR="000F2E8C" w:rsidRPr="000F2E8C">
        <w:rPr>
          <w:rFonts w:eastAsiaTheme="minorEastAsia"/>
          <w:kern w:val="0"/>
          <w:sz w:val="28"/>
          <w:szCs w:val="28"/>
          <w:lang w:eastAsia="ru-RU"/>
        </w:rPr>
        <w:t xml:space="preserve">.2022 года № </w:t>
      </w:r>
      <w:r w:rsidR="00FF783C">
        <w:rPr>
          <w:rFonts w:eastAsiaTheme="minorEastAsia"/>
          <w:kern w:val="0"/>
          <w:sz w:val="28"/>
          <w:szCs w:val="28"/>
          <w:lang w:eastAsia="ru-RU"/>
        </w:rPr>
        <w:t>138</w:t>
      </w:r>
      <w:r w:rsidR="00ED6A85">
        <w:rPr>
          <w:rFonts w:eastAsiaTheme="minorEastAsia"/>
          <w:kern w:val="0"/>
          <w:sz w:val="28"/>
          <w:szCs w:val="28"/>
          <w:lang w:eastAsia="ru-RU"/>
        </w:rPr>
        <w:t>, №104 от 27.03.2025г</w:t>
      </w:r>
      <w:r w:rsidRPr="000F2E8C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E431AC" w:rsidRPr="002B4A83" w:rsidRDefault="00E431AC" w:rsidP="00E431AC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E431AC" w:rsidRPr="002B4A83" w:rsidRDefault="00E431AC" w:rsidP="00E431AC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E431AC" w:rsidRDefault="00087525" w:rsidP="00E431AC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087525">
        <w:rPr>
          <w:rFonts w:eastAsiaTheme="minorEastAsia"/>
          <w:b/>
          <w:kern w:val="0"/>
          <w:sz w:val="28"/>
          <w:szCs w:val="28"/>
          <w:lang w:eastAsia="ru-RU"/>
        </w:rPr>
        <w:t>Приемочной комиссии по вопросам завершения переустройства и (или) перепланировки п</w:t>
      </w:r>
      <w:r>
        <w:rPr>
          <w:rFonts w:eastAsiaTheme="minorEastAsia"/>
          <w:b/>
          <w:kern w:val="0"/>
          <w:sz w:val="28"/>
          <w:szCs w:val="28"/>
          <w:lang w:eastAsia="ru-RU"/>
        </w:rPr>
        <w:t>омещения в многоквартирном доме</w:t>
      </w:r>
    </w:p>
    <w:p w:rsidR="00087525" w:rsidRPr="00592831" w:rsidRDefault="00087525" w:rsidP="00E431AC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E431AC" w:rsidRPr="002B4A83" w:rsidTr="00C20560">
        <w:tc>
          <w:tcPr>
            <w:tcW w:w="2913" w:type="dxa"/>
          </w:tcPr>
          <w:p w:rsidR="00E431AC" w:rsidRPr="002B4A83" w:rsidRDefault="00E431AC" w:rsidP="00C562A3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E431AC" w:rsidRPr="002B4A83" w:rsidRDefault="00ED6A85" w:rsidP="00C562A3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D6A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Кононенко Людмила Владимировна </w:t>
            </w:r>
            <w:r w:rsidR="00C562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="00E431AC" w:rsidRPr="002B4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62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  <w:r w:rsidR="00E431AC" w:rsidRPr="002B4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Зуйского сельского поселения Белогорского района Республики Крым</w:t>
            </w:r>
          </w:p>
        </w:tc>
      </w:tr>
      <w:tr w:rsidR="00E431AC" w:rsidRPr="002B4A83" w:rsidTr="00C20560">
        <w:tc>
          <w:tcPr>
            <w:tcW w:w="2913" w:type="dxa"/>
          </w:tcPr>
          <w:p w:rsidR="00E431AC" w:rsidRPr="002B4A83" w:rsidRDefault="00087525" w:rsidP="00C562A3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 председателя</w:t>
            </w:r>
            <w:r w:rsidR="00E431AC"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725" w:type="dxa"/>
          </w:tcPr>
          <w:p w:rsidR="00E431AC" w:rsidRPr="002B4A83" w:rsidRDefault="00ED6A85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D6A8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Семерунь Людмила Сергеевна </w:t>
            </w:r>
            <w:r w:rsidR="00E431AC"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</w:t>
            </w:r>
            <w:r w:rsidR="00C562A3" w:rsidRPr="00C562A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E431AC" w:rsidRPr="002B4A83" w:rsidTr="00C20560">
        <w:tc>
          <w:tcPr>
            <w:tcW w:w="2913" w:type="dxa"/>
          </w:tcPr>
          <w:p w:rsidR="00C562A3" w:rsidRDefault="00C562A3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E431AC" w:rsidRPr="002B4A83" w:rsidRDefault="00C20560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6725" w:type="dxa"/>
          </w:tcPr>
          <w:p w:rsidR="000F2E8C" w:rsidRDefault="000F2E8C" w:rsidP="00B00C87">
            <w:pPr>
              <w:pStyle w:val="a4"/>
              <w:spacing w:after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E431AC" w:rsidRPr="002B4A83" w:rsidRDefault="00C20560" w:rsidP="00C20560">
            <w:pPr>
              <w:pStyle w:val="a4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Менчик Мария Ивановна</w:t>
            </w:r>
            <w:r w:rsidR="00C562A3"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="00C562A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</w:t>
            </w:r>
            <w:r w:rsidR="00C562A3"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="00ED6A85" w:rsidRPr="00ED6A85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предоставления муниципальных услуг</w:t>
            </w:r>
          </w:p>
        </w:tc>
      </w:tr>
      <w:tr w:rsidR="00E431AC" w:rsidRPr="002B4A83" w:rsidTr="00C20560">
        <w:tc>
          <w:tcPr>
            <w:tcW w:w="2913" w:type="dxa"/>
          </w:tcPr>
          <w:p w:rsidR="00E431AC" w:rsidRPr="002B4A83" w:rsidRDefault="00E431AC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E431AC" w:rsidRPr="002B4A83" w:rsidRDefault="00E431AC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431AC" w:rsidRPr="002B4A83" w:rsidTr="00C20560">
        <w:tc>
          <w:tcPr>
            <w:tcW w:w="2913" w:type="dxa"/>
          </w:tcPr>
          <w:p w:rsidR="00E431AC" w:rsidRPr="002B4A83" w:rsidRDefault="00C20560" w:rsidP="00C562A3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C20560" w:rsidRPr="00C20560" w:rsidRDefault="00ED6A85" w:rsidP="00C20560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D6A8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Шупикова Алена Олеговна </w:t>
            </w:r>
            <w:r w:rsidR="00C20560" w:rsidRPr="00C20560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- </w:t>
            </w:r>
            <w:r w:rsidR="00C20560" w:rsidRPr="00C20560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финанс</w:t>
            </w:r>
            <w:r w:rsidR="00C20560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ированию и бухгалтерскому учету</w:t>
            </w:r>
          </w:p>
          <w:p w:rsidR="00E431AC" w:rsidRPr="002B4A83" w:rsidRDefault="00E431AC" w:rsidP="00C20560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431AC" w:rsidRPr="002B4A83" w:rsidTr="00C20560">
        <w:tc>
          <w:tcPr>
            <w:tcW w:w="2913" w:type="dxa"/>
          </w:tcPr>
          <w:p w:rsidR="00E431AC" w:rsidRPr="002B4A83" w:rsidRDefault="00E431AC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C20560" w:rsidRPr="00C20560" w:rsidRDefault="00ED6A85" w:rsidP="00C20560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D6A85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Ильичева Алина Валериевна</w:t>
            </w:r>
            <w:r w:rsidR="00C20560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ab/>
              <w:t xml:space="preserve">- </w:t>
            </w:r>
            <w:r w:rsidR="00C20560" w:rsidRPr="00C20560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ведущий специалист сектора по вопросам муниципального имущества, землеустройства </w:t>
            </w:r>
            <w:r w:rsidR="00C20560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и территориального планирования</w:t>
            </w:r>
          </w:p>
          <w:p w:rsidR="00E431AC" w:rsidRPr="002B4A83" w:rsidRDefault="00E431AC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E431AC" w:rsidRPr="002B4A83" w:rsidTr="00C20560">
        <w:tc>
          <w:tcPr>
            <w:tcW w:w="2913" w:type="dxa"/>
          </w:tcPr>
          <w:p w:rsidR="00E431AC" w:rsidRPr="002B4A83" w:rsidRDefault="00E431AC" w:rsidP="00C562A3">
            <w:pPr>
              <w:pStyle w:val="af1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E431AC" w:rsidRPr="00C20560" w:rsidRDefault="00E431AC" w:rsidP="00ED6A85">
            <w:pPr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076ED" w:rsidRPr="00B076ED" w:rsidRDefault="00B076ED" w:rsidP="006E4F59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6E4F59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A7" w:rsidRDefault="00B42EA7" w:rsidP="007A3798">
      <w:r>
        <w:separator/>
      </w:r>
    </w:p>
  </w:endnote>
  <w:endnote w:type="continuationSeparator" w:id="0">
    <w:p w:rsidR="00B42EA7" w:rsidRDefault="00B42EA7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A7" w:rsidRDefault="00B42EA7" w:rsidP="007A3798">
      <w:r>
        <w:separator/>
      </w:r>
    </w:p>
  </w:footnote>
  <w:footnote w:type="continuationSeparator" w:id="0">
    <w:p w:rsidR="00B42EA7" w:rsidRDefault="00B42EA7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17D92"/>
    <w:multiLevelType w:val="multilevel"/>
    <w:tmpl w:val="237EE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14"/>
  </w:num>
  <w:num w:numId="6">
    <w:abstractNumId w:val="15"/>
  </w:num>
  <w:num w:numId="7">
    <w:abstractNumId w:val="10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87525"/>
    <w:rsid w:val="00090DCA"/>
    <w:rsid w:val="00092338"/>
    <w:rsid w:val="000A307F"/>
    <w:rsid w:val="000B08B4"/>
    <w:rsid w:val="000F2E8C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B3BC6"/>
    <w:rsid w:val="001C4A23"/>
    <w:rsid w:val="001C5D4E"/>
    <w:rsid w:val="001E0514"/>
    <w:rsid w:val="001E6738"/>
    <w:rsid w:val="001F7C34"/>
    <w:rsid w:val="0020392A"/>
    <w:rsid w:val="00211AF3"/>
    <w:rsid w:val="00230BB8"/>
    <w:rsid w:val="00262466"/>
    <w:rsid w:val="00273C5B"/>
    <w:rsid w:val="002765C6"/>
    <w:rsid w:val="002871F8"/>
    <w:rsid w:val="002B09A3"/>
    <w:rsid w:val="002C38C8"/>
    <w:rsid w:val="0032304B"/>
    <w:rsid w:val="00325786"/>
    <w:rsid w:val="00392878"/>
    <w:rsid w:val="003A38CC"/>
    <w:rsid w:val="003A49FE"/>
    <w:rsid w:val="003E5242"/>
    <w:rsid w:val="003F0E3A"/>
    <w:rsid w:val="003F21D4"/>
    <w:rsid w:val="003F3B0A"/>
    <w:rsid w:val="003F4661"/>
    <w:rsid w:val="00403589"/>
    <w:rsid w:val="00412AED"/>
    <w:rsid w:val="004421A6"/>
    <w:rsid w:val="00451B67"/>
    <w:rsid w:val="00464138"/>
    <w:rsid w:val="004738B3"/>
    <w:rsid w:val="0047616E"/>
    <w:rsid w:val="004904B8"/>
    <w:rsid w:val="004A0FA7"/>
    <w:rsid w:val="004C68F1"/>
    <w:rsid w:val="004E7BFC"/>
    <w:rsid w:val="005031D6"/>
    <w:rsid w:val="0051772C"/>
    <w:rsid w:val="00522D3F"/>
    <w:rsid w:val="00560854"/>
    <w:rsid w:val="005946AE"/>
    <w:rsid w:val="005B18D2"/>
    <w:rsid w:val="005E0F4D"/>
    <w:rsid w:val="005E4F03"/>
    <w:rsid w:val="00607F3A"/>
    <w:rsid w:val="00615239"/>
    <w:rsid w:val="006166D4"/>
    <w:rsid w:val="0063559F"/>
    <w:rsid w:val="00647876"/>
    <w:rsid w:val="006729BA"/>
    <w:rsid w:val="00673DAF"/>
    <w:rsid w:val="00677DB4"/>
    <w:rsid w:val="006912E1"/>
    <w:rsid w:val="006B112A"/>
    <w:rsid w:val="006B6540"/>
    <w:rsid w:val="006C18F0"/>
    <w:rsid w:val="006E4F59"/>
    <w:rsid w:val="007022DD"/>
    <w:rsid w:val="0070364B"/>
    <w:rsid w:val="00713AFB"/>
    <w:rsid w:val="007518D9"/>
    <w:rsid w:val="00755B10"/>
    <w:rsid w:val="0075652B"/>
    <w:rsid w:val="00765DFB"/>
    <w:rsid w:val="00773BCE"/>
    <w:rsid w:val="0079267C"/>
    <w:rsid w:val="007A3798"/>
    <w:rsid w:val="007D272A"/>
    <w:rsid w:val="00812EA8"/>
    <w:rsid w:val="008539D6"/>
    <w:rsid w:val="00877188"/>
    <w:rsid w:val="00882545"/>
    <w:rsid w:val="008872B9"/>
    <w:rsid w:val="008D4BC2"/>
    <w:rsid w:val="008D5BA0"/>
    <w:rsid w:val="008E00F1"/>
    <w:rsid w:val="008F4CAF"/>
    <w:rsid w:val="008F7221"/>
    <w:rsid w:val="00905242"/>
    <w:rsid w:val="0091343A"/>
    <w:rsid w:val="0091411E"/>
    <w:rsid w:val="009669EC"/>
    <w:rsid w:val="009A046A"/>
    <w:rsid w:val="009A4F2C"/>
    <w:rsid w:val="009D7385"/>
    <w:rsid w:val="009E0AF9"/>
    <w:rsid w:val="009F203D"/>
    <w:rsid w:val="00A019B1"/>
    <w:rsid w:val="00A500BD"/>
    <w:rsid w:val="00A74CE3"/>
    <w:rsid w:val="00A84AEA"/>
    <w:rsid w:val="00A85C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42EA7"/>
    <w:rsid w:val="00B50C9B"/>
    <w:rsid w:val="00B557D2"/>
    <w:rsid w:val="00B55DBC"/>
    <w:rsid w:val="00B60780"/>
    <w:rsid w:val="00B71ED6"/>
    <w:rsid w:val="00B82489"/>
    <w:rsid w:val="00B96147"/>
    <w:rsid w:val="00BB3B7F"/>
    <w:rsid w:val="00BC1140"/>
    <w:rsid w:val="00BD0D0C"/>
    <w:rsid w:val="00BD6B56"/>
    <w:rsid w:val="00BE07AD"/>
    <w:rsid w:val="00BE1215"/>
    <w:rsid w:val="00BE7762"/>
    <w:rsid w:val="00C02368"/>
    <w:rsid w:val="00C20560"/>
    <w:rsid w:val="00C25808"/>
    <w:rsid w:val="00C26B1D"/>
    <w:rsid w:val="00C34067"/>
    <w:rsid w:val="00C400E5"/>
    <w:rsid w:val="00C47797"/>
    <w:rsid w:val="00C562A3"/>
    <w:rsid w:val="00C60F81"/>
    <w:rsid w:val="00C65DC3"/>
    <w:rsid w:val="00C712C5"/>
    <w:rsid w:val="00CD1137"/>
    <w:rsid w:val="00CD28FA"/>
    <w:rsid w:val="00CE7BEE"/>
    <w:rsid w:val="00CF6A78"/>
    <w:rsid w:val="00D11103"/>
    <w:rsid w:val="00D12936"/>
    <w:rsid w:val="00D16C58"/>
    <w:rsid w:val="00D27AB4"/>
    <w:rsid w:val="00D52DE4"/>
    <w:rsid w:val="00D87230"/>
    <w:rsid w:val="00D92A65"/>
    <w:rsid w:val="00D93A6B"/>
    <w:rsid w:val="00DA3F6C"/>
    <w:rsid w:val="00DC1E71"/>
    <w:rsid w:val="00DF49BF"/>
    <w:rsid w:val="00E0579A"/>
    <w:rsid w:val="00E431AC"/>
    <w:rsid w:val="00E5037E"/>
    <w:rsid w:val="00E5099C"/>
    <w:rsid w:val="00E667DC"/>
    <w:rsid w:val="00E81D13"/>
    <w:rsid w:val="00EA24A7"/>
    <w:rsid w:val="00EB6F84"/>
    <w:rsid w:val="00EC116D"/>
    <w:rsid w:val="00EC49BA"/>
    <w:rsid w:val="00ED32C2"/>
    <w:rsid w:val="00ED6A85"/>
    <w:rsid w:val="00ED6B99"/>
    <w:rsid w:val="00ED79E6"/>
    <w:rsid w:val="00EF18B7"/>
    <w:rsid w:val="00F00E3E"/>
    <w:rsid w:val="00F01B41"/>
    <w:rsid w:val="00F144B0"/>
    <w:rsid w:val="00F264C0"/>
    <w:rsid w:val="00F32251"/>
    <w:rsid w:val="00F56719"/>
    <w:rsid w:val="00FA144B"/>
    <w:rsid w:val="00FC4190"/>
    <w:rsid w:val="00FD325A"/>
    <w:rsid w:val="00FD47CA"/>
    <w:rsid w:val="00FD4EA5"/>
    <w:rsid w:val="00FE5D78"/>
    <w:rsid w:val="00FF2871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2025-04-01T05:36:00Z</cp:lastPrinted>
  <dcterms:created xsi:type="dcterms:W3CDTF">2025-03-27T12:46:00Z</dcterms:created>
  <dcterms:modified xsi:type="dcterms:W3CDTF">2025-04-01T06:05:00Z</dcterms:modified>
</cp:coreProperties>
</file>